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prId0"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body>
    <w:p>
      <w:pPr>
        <w:spacing w:before="3" w:after="0" w:line="277" w:lineRule="exact"/>
        <w:ind w:right="0" w:left="72" w:firstLine="0"/>
        <w:jc w:val="left"/>
        <w:textAlignment w:val="baseline"/>
        <w:rPr>
          <w:rFonts w:ascii="Arial" w:hAnsi="Arial" w:eastAsia="Arial"/>
          <w:b w:val="true"/>
          <w:strike w:val="false"/>
          <w:color w:val="000000"/>
          <w:spacing w:val="3"/>
          <w:w w:val="100"/>
          <w:sz w:val="24"/>
          <w:vertAlign w:val="baseline"/>
          <w:lang w:val="en-US"/>
        </w:rPr>
      </w:pPr>
      <w:r>
        <w:pict>
          <v:shapetype id="_x0000_t1" coordsize="21600,21600" o:spt="202" path="m,l,21600r21600,l21600,xe">
            <v:stroke joinstyle="miter"/>
            <v:path gradientshapeok="t" o:connecttype="rect"/>
          </v:shapetype>
          <v:shape id="_x0000_s0" type="#_x0000_t1" filled="f" strokecolor="#070000" stroked="f" style="position:absolute;width:478pt;height:11.95pt;z-index:-1000;margin-left:51.7pt;margin-top:785.05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9576"/>
                    </w:tabs>
                    <w:spacing w:before="0" w:after="35" w:line="190" w:lineRule="exact"/>
                    <w:ind w:right="0" w:left="0" w:firstLine="0"/>
                    <w:jc w:val="left"/>
                    <w:textAlignment w:val="baseline"/>
                    <w:rPr>
                      <w:rFonts w:ascii="Arial" w:hAnsi="Arial" w:eastAsia="Arial"/>
                      <w:strike w:val="false"/>
                      <w:color w:val="000000"/>
                      <w:spacing w:val="0"/>
                      <w:w w:val="100"/>
                      <w:sz w:val="16"/>
                      <w:vertAlign w:val="baseline"/>
                      <w:lang w:val="en-US"/>
                    </w:rPr>
                  </w:pPr>
                  <w:r>
                    <w:rPr>
                      <w:rFonts w:ascii="Arial" w:hAnsi="Arial" w:eastAsia="Arial"/>
                      <w:strike w:val="false"/>
                      <w:color w:val="000000"/>
                      <w:spacing w:val="0"/>
                      <w:w w:val="100"/>
                      <w:sz w:val="16"/>
                      <w:vertAlign w:val="baseline"/>
                      <w:lang w:val="en-US"/>
                    </w:rPr>
                    <w:t xml:space="preserve">Annual Governance </w:t>
                  </w:r>
                  <w:r>
                    <w:rPr>
                      <w:rFonts w:ascii="Arial" w:hAnsi="Arial" w:eastAsia="Arial"/>
                      <w:strike w:val="false"/>
                      <w:color w:val="000000"/>
                      <w:spacing w:val="0"/>
                      <w:w w:val="100"/>
                      <w:sz w:val="16"/>
                      <w:vertAlign w:val="baseline"/>
                      <w:lang w:val="en-US"/>
                    </w:rPr>
                    <w:t xml:space="preserve">and </w:t>
                  </w:r>
                  <w:r>
                    <w:rPr>
                      <w:rFonts w:ascii="Arial" w:hAnsi="Arial" w:eastAsia="Arial"/>
                      <w:strike w:val="false"/>
                      <w:color w:val="000000"/>
                      <w:spacing w:val="0"/>
                      <w:w w:val="100"/>
                      <w:sz w:val="16"/>
                      <w:vertAlign w:val="baseline"/>
                      <w:lang w:val="en-US"/>
                    </w:rPr>
                    <w:t xml:space="preserve">Accountability Return 2017/18 Part 3	</w:t>
                  </w:r>
                  <w:r>
                    <w:rPr>
                      <w:rFonts w:ascii="Arial" w:hAnsi="Arial" w:eastAsia="Arial"/>
                      <w:strike w:val="false"/>
                      <w:color w:val="000000"/>
                      <w:spacing w:val="0"/>
                      <w:w w:val="100"/>
                      <w:sz w:val="16"/>
                      <w:vertAlign w:val="baseline"/>
                      <w:lang w:val="en-US"/>
                    </w:rPr>
                    <w:t xml:space="preserve">Page 6 of 6</w:t>
                  </w:r>
                </w:p>
              </w:txbxContent>
            </v:textbox>
          </v:shape>
        </w:pict>
      </w:r>
      <w:r>
        <w:rPr>
          <w:rFonts w:ascii="Arial" w:hAnsi="Arial" w:eastAsia="Arial"/>
          <w:b w:val="true"/>
          <w:strike w:val="false"/>
          <w:color w:val="000000"/>
          <w:spacing w:val="3"/>
          <w:w w:val="100"/>
          <w:sz w:val="24"/>
          <w:vertAlign w:val="baseline"/>
          <w:lang w:val="en-US"/>
        </w:rPr>
        <w:t xml:space="preserve">Section 3 — External Auditor Report and Certificate 2017/18</w:t>
      </w:r>
    </w:p>
    <w:p>
      <w:pPr>
        <w:tabs>
          <w:tab w:val="left" w:leader="none" w:pos="3600"/>
        </w:tabs>
        <w:spacing w:before="120" w:after="0" w:line="224" w:lineRule="exact"/>
        <w:ind w:right="0" w:left="72" w:firstLine="0"/>
        <w:jc w:val="left"/>
        <w:textAlignment w:val="baseline"/>
        <w:rPr>
          <w:rFonts w:ascii="Arial" w:hAnsi="Arial" w:eastAsia="Arial"/>
          <w:strike w:val="false"/>
          <w:color w:val="000000"/>
          <w:spacing w:val="-3"/>
          <w:w w:val="100"/>
          <w:sz w:val="20"/>
          <w:vertAlign w:val="baseline"/>
          <w:lang w:val="en-US"/>
        </w:rPr>
      </w:pPr>
      <w:r>
        <w:rPr>
          <w:rFonts w:ascii="Arial" w:hAnsi="Arial" w:eastAsia="Arial"/>
          <w:strike w:val="false"/>
          <w:color w:val="000000"/>
          <w:spacing w:val="-3"/>
          <w:w w:val="100"/>
          <w:sz w:val="20"/>
          <w:vertAlign w:val="baseline"/>
          <w:lang w:val="en-US"/>
        </w:rPr>
        <w:t xml:space="preserve">In respect of	</w:t>
      </w:r>
      <w:r>
        <w:rPr>
          <w:rFonts w:ascii="Arial" w:hAnsi="Arial" w:eastAsia="Arial"/>
          <w:b w:val="true"/>
          <w:strike w:val="false"/>
          <w:color w:val="000000"/>
          <w:spacing w:val="-3"/>
          <w:w w:val="100"/>
          <w:sz w:val="20"/>
          <w:vertAlign w:val="baseline"/>
          <w:lang w:val="en-US"/>
        </w:rPr>
        <w:t xml:space="preserve">Brassington Parish Council (DE0034)</w:t>
      </w:r>
    </w:p>
    <w:p>
      <w:pPr>
        <w:spacing w:before="234" w:after="0" w:line="322" w:lineRule="exact"/>
        <w:ind w:right="0" w:left="288" w:firstLine="0"/>
        <w:jc w:val="left"/>
        <w:textAlignment w:val="baseline"/>
        <w:rPr>
          <w:rFonts w:ascii="Times New Roman" w:hAnsi="Times New Roman" w:eastAsia="Times New Roman"/>
          <w:strike w:val="false"/>
          <w:color w:val="000000"/>
          <w:spacing w:val="2"/>
          <w:w w:val="100"/>
          <w:sz w:val="29"/>
          <w:vertAlign w:val="baseline"/>
          <w:lang w:val="en-US"/>
        </w:rPr>
      </w:pPr>
      <w:r>
        <w:rPr>
          <w:rFonts w:ascii="Times New Roman" w:hAnsi="Times New Roman" w:eastAsia="Times New Roman"/>
          <w:strike w:val="false"/>
          <w:color w:val="000000"/>
          <w:spacing w:val="2"/>
          <w:w w:val="100"/>
          <w:sz w:val="29"/>
          <w:vertAlign w:val="baseline"/>
          <w:lang w:val="en-US"/>
        </w:rPr>
        <w:t xml:space="preserve">Respective responsibilities of the body and the auditor</w:t>
      </w:r>
    </w:p>
    <w:p>
      <w:pPr>
        <w:spacing w:before="0" w:after="0" w:line="224" w:lineRule="exact"/>
        <w:ind w:right="432" w:left="72" w:firstLine="0"/>
        <w:jc w:val="left"/>
        <w:textAlignment w:val="baseline"/>
        <w:rPr>
          <w:rFonts w:ascii="Arial" w:hAnsi="Arial" w:eastAsia="Arial"/>
          <w:strike w:val="false"/>
          <w:color w:val="000000"/>
          <w:spacing w:val="0"/>
          <w:w w:val="100"/>
          <w:sz w:val="20"/>
          <w:vertAlign w:val="baseline"/>
          <w:lang w:val="en-US"/>
        </w:rPr>
      </w:pPr>
      <w:r>
        <w:rPr>
          <w:rFonts w:ascii="Arial" w:hAnsi="Arial" w:eastAsia="Arial"/>
          <w:strike w:val="false"/>
          <w:color w:val="000000"/>
          <w:spacing w:val="0"/>
          <w:w w:val="100"/>
          <w:sz w:val="20"/>
          <w:vertAlign w:val="baseline"/>
          <w:lang w:val="en-US"/>
        </w:rPr>
        <w:t xml:space="preserve">This authority is responsible for ensuring that its financial management is adequate and effective and that it has a sound system of internal control. The authority prepares an Annual Governance and Accountability Return in accordance </w:t>
      </w:r>
      <w:r>
        <w:rPr>
          <w:rFonts w:ascii="Times New Roman" w:hAnsi="Times New Roman" w:eastAsia="Times New Roman"/>
          <w:i w:val="true"/>
          <w:strike w:val="false"/>
          <w:color w:val="000000"/>
          <w:spacing w:val="0"/>
          <w:w w:val="100"/>
          <w:sz w:val="21"/>
          <w:vertAlign w:val="baseline"/>
          <w:lang w:val="en-US"/>
        </w:rPr>
        <w:t xml:space="preserve">with Proper Practices </w:t>
      </w:r>
      <w:r>
        <w:rPr>
          <w:rFonts w:ascii="Arial" w:hAnsi="Arial" w:eastAsia="Arial"/>
          <w:strike w:val="false"/>
          <w:color w:val="000000"/>
          <w:spacing w:val="0"/>
          <w:w w:val="100"/>
          <w:sz w:val="20"/>
          <w:vertAlign w:val="baseline"/>
          <w:lang w:val="en-US"/>
        </w:rPr>
        <w:t xml:space="preserve">which:</w:t>
      </w:r>
    </w:p>
    <w:p>
      <w:pPr>
        <w:numPr>
          <w:ilvl w:val="0"/>
          <w:numId w:val="2"/>
        </w:numPr>
        <w:tabs>
          <w:tab w:val="clear" w:pos="360"/>
          <w:tab w:val="left" w:pos="792"/>
        </w:tabs>
        <w:spacing w:before="3" w:after="0" w:line="224" w:lineRule="exact"/>
        <w:ind w:right="0" w:left="792" w:hanging="360"/>
        <w:jc w:val="left"/>
        <w:textAlignment w:val="baseline"/>
        <w:rPr>
          <w:rFonts w:ascii="Arial" w:hAnsi="Arial" w:eastAsia="Arial"/>
          <w:strike w:val="false"/>
          <w:color w:val="000000"/>
          <w:spacing w:val="-3"/>
          <w:w w:val="100"/>
          <w:sz w:val="20"/>
          <w:vertAlign w:val="baseline"/>
          <w:lang w:val="en-US"/>
        </w:rPr>
      </w:pPr>
      <w:r>
        <w:rPr>
          <w:rFonts w:ascii="Arial" w:hAnsi="Arial" w:eastAsia="Arial"/>
          <w:strike w:val="false"/>
          <w:color w:val="000000"/>
          <w:spacing w:val="-3"/>
          <w:w w:val="100"/>
          <w:sz w:val="20"/>
          <w:vertAlign w:val="baseline"/>
          <w:lang w:val="en-US"/>
        </w:rPr>
        <w:t xml:space="preserve">summarises the accounting records for the year ended 31 March 2018; and</w:t>
      </w:r>
    </w:p>
    <w:p>
      <w:pPr>
        <w:numPr>
          <w:ilvl w:val="0"/>
          <w:numId w:val="2"/>
        </w:numPr>
        <w:tabs>
          <w:tab w:val="clear" w:pos="360"/>
          <w:tab w:val="left" w:pos="792"/>
        </w:tabs>
        <w:spacing w:before="10" w:after="0" w:line="224" w:lineRule="exact"/>
        <w:ind w:right="576" w:left="792" w:hanging="360"/>
        <w:jc w:val="left"/>
        <w:textAlignment w:val="baseline"/>
        <w:rPr>
          <w:rFonts w:ascii="Arial" w:hAnsi="Arial" w:eastAsia="Arial"/>
          <w:strike w:val="false"/>
          <w:color w:val="000000"/>
          <w:spacing w:val="0"/>
          <w:w w:val="100"/>
          <w:sz w:val="20"/>
          <w:vertAlign w:val="baseline"/>
          <w:lang w:val="en-US"/>
        </w:rPr>
      </w:pPr>
      <w:r>
        <w:rPr>
          <w:rFonts w:ascii="Arial" w:hAnsi="Arial" w:eastAsia="Arial"/>
          <w:strike w:val="false"/>
          <w:color w:val="000000"/>
          <w:spacing w:val="0"/>
          <w:w w:val="100"/>
          <w:sz w:val="20"/>
          <w:vertAlign w:val="baseline"/>
          <w:lang w:val="en-US"/>
        </w:rPr>
        <w:t xml:space="preserve">confirms and provides assurance on those matters that are relevant to our duties and responsibilities as external auditors.</w:t>
      </w:r>
    </w:p>
    <w:p>
      <w:pPr>
        <w:spacing w:before="1" w:after="254" w:line="224" w:lineRule="exact"/>
        <w:ind w:right="72" w:left="72" w:firstLine="0"/>
        <w:jc w:val="left"/>
        <w:textAlignment w:val="baseline"/>
        <w:rPr>
          <w:rFonts w:ascii="Arial" w:hAnsi="Arial" w:eastAsia="Arial"/>
          <w:strike w:val="false"/>
          <w:color w:val="000000"/>
          <w:spacing w:val="-3"/>
          <w:w w:val="100"/>
          <w:sz w:val="20"/>
          <w:vertAlign w:val="baseline"/>
          <w:lang w:val="en-US"/>
        </w:rPr>
      </w:pPr>
      <w:r>
        <w:rPr>
          <w:rFonts w:ascii="Arial" w:hAnsi="Arial" w:eastAsia="Arial"/>
          <w:strike w:val="false"/>
          <w:color w:val="000000"/>
          <w:spacing w:val="-3"/>
          <w:w w:val="100"/>
          <w:sz w:val="20"/>
          <w:vertAlign w:val="baseline"/>
          <w:lang w:val="en-US"/>
        </w:rPr>
        <w:t xml:space="preserve">Our responsibility is to review Sections 1 and 2 of the Annual Governance and Accountability Return in accordance with guidance issued by the National Audit Office (NAO) on behalf of the Comptroller and Auditor General (see note below). Our work </w:t>
      </w:r>
      <w:r>
        <w:rPr>
          <w:rFonts w:ascii="Arial" w:hAnsi="Arial" w:eastAsia="Arial"/>
          <w:b w:val="true"/>
          <w:strike w:val="false"/>
          <w:color w:val="000000"/>
          <w:spacing w:val="-3"/>
          <w:w w:val="100"/>
          <w:sz w:val="20"/>
          <w:vertAlign w:val="baseline"/>
          <w:lang w:val="en-US"/>
        </w:rPr>
        <w:t xml:space="preserve">does not </w:t>
      </w:r>
      <w:r>
        <w:rPr>
          <w:rFonts w:ascii="Arial" w:hAnsi="Arial" w:eastAsia="Arial"/>
          <w:strike w:val="false"/>
          <w:color w:val="000000"/>
          <w:spacing w:val="-3"/>
          <w:w w:val="100"/>
          <w:sz w:val="20"/>
          <w:vertAlign w:val="baseline"/>
          <w:lang w:val="en-US"/>
        </w:rPr>
        <w:t xml:space="preserve">constitute an audit carried out in accordance with International Standards on Auditing (UK &amp; Ireland) and </w:t>
      </w:r>
      <w:r>
        <w:rPr>
          <w:rFonts w:ascii="Arial" w:hAnsi="Arial" w:eastAsia="Arial"/>
          <w:b w:val="true"/>
          <w:strike w:val="false"/>
          <w:color w:val="000000"/>
          <w:spacing w:val="-3"/>
          <w:w w:val="100"/>
          <w:sz w:val="20"/>
          <w:vertAlign w:val="baseline"/>
          <w:lang w:val="en-US"/>
        </w:rPr>
        <w:t xml:space="preserve">does not </w:t>
      </w:r>
      <w:r>
        <w:rPr>
          <w:rFonts w:ascii="Arial" w:hAnsi="Arial" w:eastAsia="Arial"/>
          <w:strike w:val="false"/>
          <w:color w:val="000000"/>
          <w:spacing w:val="-3"/>
          <w:w w:val="100"/>
          <w:sz w:val="20"/>
          <w:vertAlign w:val="baseline"/>
          <w:lang w:val="en-US"/>
        </w:rPr>
        <w:t xml:space="preserve">provide the same level of assurance that such an audit would do.</w:t>
      </w:r>
    </w:p>
    <w:tbl>
      <w:tblPr>
        <w:jc w:val="left"/>
        <w:tblLayout w:type="fixed"/>
        <w:tblCellMar>
          <w:left w:w="0" w:type="dxa"/>
          <w:right w:w="0" w:type="dxa"/>
        </w:tblCellMar>
      </w:tblPr>
      <w:tblGrid>
        <w:gridCol w:w="10195"/>
      </w:tblGrid>
      <w:tr>
        <w:trPr>
          <w:trHeight w:val="4858" w:hRule="exact"/>
        </w:trPr>
        <w:tc>
          <w:tcPr>
            <w:tcW w:w="10195" w:type="auto"/>
            <w:gridSpan w:val="1"/>
            <w:tcBorders>
              <w:top w:val="none" w:sz="0" w:color="000000"/>
              <w:left w:val="single" w:sz="5" w:color="414440"/>
              <w:bottom w:val="double" w:sz="2" w:color="3B3C35"/>
              <w:right w:val="single" w:sz="6" w:color="404341"/>
            </w:tcBorders>
            <w:textDirection w:val="lrTb"/>
            <w:vAlign w:val="top"/>
          </w:tcPr>
          <w:p>
            <w:pPr>
              <w:spacing w:before="0" w:after="0" w:line="284" w:lineRule="exact"/>
              <w:ind w:right="0" w:left="72" w:firstLine="0"/>
              <w:jc w:val="left"/>
              <w:textAlignment w:val="baseline"/>
              <w:rPr>
                <w:rFonts w:ascii="Times New Roman" w:hAnsi="Times New Roman" w:eastAsia="Times New Roman"/>
                <w:strike w:val="false"/>
                <w:color w:val="000000"/>
                <w:spacing w:val="-1"/>
                <w:w w:val="100"/>
                <w:sz w:val="29"/>
                <w:vertAlign w:val="baseline"/>
                <w:lang w:val="en-US"/>
              </w:rPr>
            </w:pPr>
            <w:r>
              <w:rPr>
                <w:rFonts w:ascii="Times New Roman" w:hAnsi="Times New Roman" w:eastAsia="Times New Roman"/>
                <w:strike w:val="false"/>
                <w:color w:val="000000"/>
                <w:spacing w:val="-1"/>
                <w:w w:val="100"/>
                <w:sz w:val="29"/>
                <w:vertAlign w:val="baseline"/>
                <w:lang w:val="en-US"/>
              </w:rPr>
              <w:t xml:space="preserve">2 External auditor report 2017118</w:t>
            </w:r>
          </w:p>
          <w:p>
            <w:pPr>
              <w:spacing w:before="56" w:after="0" w:line="155" w:lineRule="exact"/>
              <w:ind w:right="72" w:left="72" w:firstLine="0"/>
              <w:jc w:val="left"/>
              <w:textAlignment w:val="baseline"/>
              <w:rPr>
                <w:rFonts w:ascii="Arial" w:hAnsi="Arial" w:eastAsia="Arial"/>
                <w:strike w:val="false"/>
                <w:color w:val="000000"/>
                <w:spacing w:val="0"/>
                <w:w w:val="100"/>
                <w:sz w:val="16"/>
                <w:vertAlign w:val="baseline"/>
                <w:lang w:val="en-US"/>
              </w:rPr>
            </w:pPr>
            <w:r>
              <w:rPr>
                <w:rFonts w:ascii="Arial" w:hAnsi="Arial" w:eastAsia="Arial"/>
                <w:strike w:val="false"/>
                <w:color w:val="000000"/>
                <w:spacing w:val="0"/>
                <w:w w:val="100"/>
                <w:sz w:val="16"/>
                <w:vertAlign w:val="baseline"/>
                <w:lang w:val="en-US"/>
              </w:rPr>
              <w:t xml:space="preserve">!Except for the matters reported below, on the basis of our review of Sections 1 and 2 of the Annual Governance and Accountability Return (AGAR), :in our opinion the information in Sections 1 and 2 of the AGAR is in accordance with Proper Practices and no other matters have come to our attention giving cause for concern that relevant legislation and regulatory requirements have not been met.</w:t>
            </w:r>
          </w:p>
          <w:p>
            <w:pPr>
              <w:spacing w:before="172" w:after="0" w:line="183" w:lineRule="exact"/>
              <w:ind w:right="0" w:left="72" w:firstLine="0"/>
              <w:jc w:val="left"/>
              <w:textAlignment w:val="baseline"/>
              <w:rPr>
                <w:rFonts w:ascii="Arial" w:hAnsi="Arial" w:eastAsia="Arial"/>
                <w:strike w:val="false"/>
                <w:color w:val="000000"/>
                <w:spacing w:val="0"/>
                <w:w w:val="100"/>
                <w:sz w:val="16"/>
                <w:vertAlign w:val="baseline"/>
                <w:lang w:val="en-US"/>
              </w:rPr>
            </w:pPr>
            <w:r>
              <w:rPr>
                <w:rFonts w:ascii="Arial" w:hAnsi="Arial" w:eastAsia="Arial"/>
                <w:strike w:val="false"/>
                <w:color w:val="000000"/>
                <w:spacing w:val="0"/>
                <w:w w:val="100"/>
                <w:sz w:val="16"/>
                <w:vertAlign w:val="baseline"/>
                <w:lang w:val="en-US"/>
              </w:rPr>
              <w:t xml:space="preserve">The AGAR was not accurately completed before submission for review:</w:t>
            </w:r>
          </w:p>
          <w:p>
            <w:pPr>
              <w:numPr>
                <w:ilvl w:val="0"/>
                <w:numId w:val="3"/>
              </w:numPr>
              <w:tabs>
                <w:tab w:val="clear" w:pos="288"/>
                <w:tab w:val="left" w:pos="720"/>
              </w:tabs>
              <w:spacing w:before="0" w:after="3209" w:line="234" w:lineRule="exact"/>
              <w:ind w:right="72" w:left="720" w:hanging="288"/>
              <w:jc w:val="left"/>
              <w:textAlignment w:val="baseline"/>
              <w:rPr>
                <w:rFonts w:ascii="Arial" w:hAnsi="Arial" w:eastAsia="Arial"/>
                <w:strike w:val="false"/>
                <w:color w:val="000000"/>
                <w:spacing w:val="0"/>
                <w:w w:val="100"/>
                <w:sz w:val="16"/>
                <w:vertAlign w:val="baseline"/>
                <w:lang w:val="en-US"/>
              </w:rPr>
            </w:pPr>
            <w:r>
              <w:rPr>
                <w:rFonts w:ascii="Arial" w:hAnsi="Arial" w:eastAsia="Arial"/>
                <w:strike w:val="false"/>
                <w:color w:val="000000"/>
                <w:spacing w:val="0"/>
                <w:w w:val="100"/>
                <w:sz w:val="16"/>
                <w:vertAlign w:val="baseline"/>
                <w:lang w:val="en-US"/>
              </w:rPr>
              <w:t xml:space="preserve">The Council has not restated the prior year figures in Boxes 2 and 3, as reported in the prior year External Auditor Report, these figures should read £12,500 and £16,059 respectively.</w:t>
            </w:r>
          </w:p>
        </w:tc>
      </w:tr>
    </w:tbl>
    <w:tbl>
      <w:tblPr>
        <w:jc w:val="left"/>
        <w:tblLayout w:type="fixed"/>
        <w:tblCellMar>
          <w:left w:w="0" w:type="dxa"/>
          <w:right w:w="0" w:type="dxa"/>
        </w:tblCellMar>
      </w:tblPr>
      <w:tblGrid>
        <w:gridCol w:w="10157"/>
      </w:tblGrid>
      <w:tr>
        <w:trPr>
          <w:trHeight w:val="3168" w:hRule="exact"/>
        </w:trPr>
        <w:tc>
          <w:tcPr>
            <w:tcW w:w="10157" w:type="auto"/>
            <w:gridSpan w:val="1"/>
            <w:tcBorders>
              <w:top w:val="double" w:sz="2" w:color="3B3C35"/>
              <w:left w:val="none" w:sz="0" w:color="000000"/>
              <w:bottom w:val="none" w:sz="0" w:color="000000"/>
              <w:right w:val="none" w:sz="0" w:color="000000"/>
            </w:tcBorders>
            <w:textDirection w:val="lrTb"/>
            <w:vAlign w:val="top"/>
          </w:tcPr>
          <w:p>
            <w:pPr>
              <w:spacing w:before="26" w:after="0" w:line="183" w:lineRule="exact"/>
              <w:ind w:right="0" w:left="0" w:firstLine="0"/>
              <w:jc w:val="left"/>
              <w:textAlignment w:val="baseline"/>
              <w:rPr>
                <w:rFonts w:ascii="Arial" w:hAnsi="Arial" w:eastAsia="Arial"/>
                <w:strike w:val="false"/>
                <w:color w:val="000000"/>
                <w:spacing w:val="-2"/>
                <w:w w:val="100"/>
                <w:sz w:val="16"/>
                <w:vertAlign w:val="baseline"/>
                <w:lang w:val="en-US"/>
              </w:rPr>
            </w:pPr>
            <w:r>
              <w:rPr>
                <w:rFonts w:ascii="Arial" w:hAnsi="Arial" w:eastAsia="Arial"/>
                <w:strike w:val="false"/>
                <w:color w:val="000000"/>
                <w:spacing w:val="-2"/>
                <w:w w:val="100"/>
                <w:sz w:val="16"/>
                <w:vertAlign w:val="baseline"/>
                <w:lang w:val="en-US"/>
              </w:rPr>
              <w:t xml:space="preserve">Other matters not affecting our opinion which we draw to the attention of the authority:</w:t>
            </w:r>
          </w:p>
          <w:p>
            <w:pPr>
              <w:spacing w:before="140" w:after="2156" w:line="216" w:lineRule="exact"/>
              <w:ind w:right="0" w:left="0" w:firstLine="0"/>
              <w:jc w:val="both"/>
              <w:textAlignment w:val="baseline"/>
              <w:rPr>
                <w:rFonts w:ascii="Arial" w:hAnsi="Arial" w:eastAsia="Arial"/>
                <w:strike w:val="false"/>
                <w:color w:val="000000"/>
                <w:spacing w:val="0"/>
                <w:w w:val="100"/>
                <w:sz w:val="16"/>
                <w:vertAlign w:val="baseline"/>
                <w:lang w:val="en-US"/>
              </w:rPr>
            </w:pPr>
            <w:r>
              <w:rPr>
                <w:rFonts w:ascii="Arial" w:hAnsi="Arial" w:eastAsia="Arial"/>
                <w:strike w:val="false"/>
                <w:color w:val="000000"/>
                <w:spacing w:val="0"/>
                <w:w w:val="100"/>
                <w:sz w:val="16"/>
                <w:vertAlign w:val="baseline"/>
                <w:lang w:val="en-US"/>
              </w:rPr>
              <w:t xml:space="preserve">The smaller authority has confirmed that It has not complied with the governance assertion in Section?, Box 5. This has also been noted </w:t>
            </w:r>
            <w:r>
              <w:rPr>
                <w:rFonts w:ascii="Arial" w:hAnsi="Arial" w:eastAsia="Arial"/>
                <w:strike w:val="false"/>
                <w:color w:val="000000"/>
                <w:spacing w:val="0"/>
                <w:w w:val="100"/>
                <w:sz w:val="16"/>
                <w:vertAlign w:val="baseline"/>
                <w:lang w:val="en-US"/>
              </w:rPr>
              <w:t xml:space="preserve">in the </w:t>
            </w:r>
            <w:r>
              <w:rPr>
                <w:rFonts w:ascii="Arial" w:hAnsi="Arial" w:eastAsia="Arial"/>
                <w:strike w:val="false"/>
                <w:color w:val="000000"/>
                <w:spacing w:val="0"/>
                <w:w w:val="100"/>
                <w:sz w:val="16"/>
                <w:vertAlign w:val="baseline"/>
                <w:lang w:val="en-US"/>
              </w:rPr>
              <w:t xml:space="preserve">Annual Internal Audit Report. The smaller authority has provided the appointed auditor with an adequate explanation for non-compliance and details of the actions necessary to address weaknesses identified.</w:t>
            </w:r>
          </w:p>
        </w:tc>
      </w:tr>
    </w:tbl>
    <w:p>
      <w:pPr>
        <w:spacing w:before="2" w:after="0" w:line="318" w:lineRule="exact"/>
        <w:ind w:right="0" w:left="0" w:firstLine="0"/>
        <w:jc w:val="left"/>
        <w:textAlignment w:val="baseline"/>
        <w:rPr>
          <w:rFonts w:ascii="Times New Roman" w:hAnsi="Times New Roman" w:eastAsia="Times New Roman"/>
          <w:strike w:val="false"/>
          <w:color w:val="000000"/>
          <w:spacing w:val="0"/>
          <w:w w:val="100"/>
          <w:sz w:val="29"/>
          <w:vertAlign w:val="baseline"/>
          <w:lang w:val="en-US"/>
        </w:rPr>
      </w:pPr>
      <w:r>
        <w:rPr>
          <w:rFonts w:ascii="Times New Roman" w:hAnsi="Times New Roman" w:eastAsia="Times New Roman"/>
          <w:strike w:val="false"/>
          <w:color w:val="000000"/>
          <w:spacing w:val="0"/>
          <w:w w:val="100"/>
          <w:sz w:val="29"/>
          <w:vertAlign w:val="baseline"/>
          <w:lang w:val="en-US"/>
        </w:rPr>
        <w:t xml:space="preserve">3 External auditor certificate 2017/18</w:t>
      </w:r>
    </w:p>
    <w:p>
      <w:pPr>
        <w:spacing w:before="0" w:after="0" w:line="223" w:lineRule="exact"/>
        <w:ind w:right="288" w:left="0" w:firstLine="0"/>
        <w:jc w:val="left"/>
        <w:textAlignment w:val="baseline"/>
        <w:rPr>
          <w:rFonts w:ascii="Arial" w:hAnsi="Arial" w:eastAsia="Arial"/>
          <w:strike w:val="false"/>
          <w:color w:val="000000"/>
          <w:spacing w:val="0"/>
          <w:w w:val="100"/>
          <w:sz w:val="20"/>
          <w:vertAlign w:val="baseline"/>
          <w:lang w:val="en-US"/>
        </w:rPr>
      </w:pPr>
      <w:r>
        <w:rPr>
          <w:rFonts w:ascii="Arial" w:hAnsi="Arial" w:eastAsia="Arial"/>
          <w:strike w:val="false"/>
          <w:color w:val="000000"/>
          <w:spacing w:val="0"/>
          <w:w w:val="100"/>
          <w:sz w:val="20"/>
          <w:vertAlign w:val="baseline"/>
          <w:lang w:val="en-US"/>
        </w:rPr>
        <w:t xml:space="preserve">We certify that we have completed our review of Sections 1 and 2 of the Annual Governance and Accountability Return, and discharged our responsibilities under the Local Audit and Accountability Act 2014, for the year ended 31 March 2018.</w:t>
      </w:r>
    </w:p>
    <w:p>
      <w:pPr>
        <w:spacing w:before="139" w:after="0" w:line="176" w:lineRule="exact"/>
        <w:ind w:right="0" w:left="0" w:firstLine="0"/>
        <w:jc w:val="left"/>
        <w:textAlignment w:val="baseline"/>
        <w:rPr>
          <w:rFonts w:ascii="Arial" w:hAnsi="Arial" w:eastAsia="Arial"/>
          <w:strike w:val="false"/>
          <w:color w:val="000000"/>
          <w:spacing w:val="-2"/>
          <w:w w:val="100"/>
          <w:sz w:val="16"/>
          <w:vertAlign w:val="baseline"/>
          <w:lang w:val="en-US"/>
        </w:rPr>
      </w:pPr>
      <w:r>
        <w:rPr>
          <w:rFonts w:ascii="Arial" w:hAnsi="Arial" w:eastAsia="Arial"/>
          <w:strike w:val="false"/>
          <w:color w:val="000000"/>
          <w:spacing w:val="-2"/>
          <w:w w:val="100"/>
          <w:sz w:val="16"/>
          <w:vertAlign w:val="baseline"/>
          <w:lang w:val="en-US"/>
        </w:rPr>
        <w:t xml:space="preserve">External Auditor Name</w:t>
      </w:r>
    </w:p>
    <w:tbl>
      <w:tblPr>
        <w:jc w:val="left"/>
        <w:tblLayout w:type="fixed"/>
        <w:tblCellMar>
          <w:left w:w="0" w:type="dxa"/>
          <w:right w:w="0" w:type="dxa"/>
        </w:tblCellMar>
      </w:tblPr>
      <w:tblGrid>
        <w:gridCol w:w="10220"/>
      </w:tblGrid>
      <w:tr>
        <w:trPr>
          <w:trHeight w:val="343" w:hRule="exact"/>
        </w:trPr>
        <w:tc>
          <w:tcPr>
            <w:tcW w:w="10220" w:type="auto"/>
            <w:gridSpan w:val="1"/>
            <w:tcBorders>
              <w:top w:val="none" w:sz="0" w:color="000000"/>
              <w:left w:val="none" w:sz="0" w:color="000000"/>
              <w:bottom w:val="none" w:sz="0" w:color="000000"/>
              <w:right w:val="none" w:sz="0" w:color="000000"/>
            </w:tcBorders>
            <w:shd w:val="clear" w:color="DBDEDC" w:fill="DBDEDC"/>
            <w:textDirection w:val="lrTb"/>
            <w:vAlign w:val="top"/>
          </w:tcPr>
          <w:p>
            <w:pPr>
              <w:spacing w:before="69" w:after="0" w:line="273" w:lineRule="exact"/>
              <w:ind w:right="0" w:left="4464" w:firstLine="0"/>
              <w:jc w:val="left"/>
              <w:textAlignment w:val="baseline"/>
              <w:rPr>
                <w:rFonts w:ascii="Times New Roman" w:hAnsi="Times New Roman" w:eastAsia="Times New Roman"/>
                <w:strike w:val="false"/>
                <w:color w:val="000000"/>
                <w:spacing w:val="-2"/>
                <w:w w:val="100"/>
                <w:sz w:val="31"/>
                <w:vertAlign w:val="baseline"/>
                <w:lang w:val="en-US"/>
              </w:rPr>
            </w:pPr>
            <w:r>
              <w:rPr>
                <w:rFonts w:ascii="Times New Roman" w:hAnsi="Times New Roman" w:eastAsia="Times New Roman"/>
                <w:strike w:val="false"/>
                <w:color w:val="000000"/>
                <w:spacing w:val="-2"/>
                <w:w w:val="100"/>
                <w:sz w:val="31"/>
                <w:vertAlign w:val="baseline"/>
                <w:lang w:val="en-US"/>
              </w:rPr>
              <w:t xml:space="preserve">tmrE</w:t>
            </w:r>
            <w:r>
              <w:rPr>
                <w:rFonts w:ascii="Times New Roman" w:hAnsi="Times New Roman" w:eastAsia="Times New Roman"/>
                <w:b w:val="true"/>
                <w:strike w:val="false"/>
                <w:color w:val="000000"/>
                <w:spacing w:val="-2"/>
                <w:w w:val="100"/>
                <w:sz w:val="22"/>
                <w:vertAlign w:val="baseline"/>
                <w:lang w:val="en-US"/>
              </w:rPr>
              <w:t xml:space="preserve">J</w:t>
            </w:r>
            <w:r>
              <w:rPr>
                <w:rFonts w:ascii="Times New Roman" w:hAnsi="Times New Roman" w:eastAsia="Times New Roman"/>
                <w:strike w:val="false"/>
                <w:color w:val="000000"/>
                <w:spacing w:val="-2"/>
                <w:w w:val="100"/>
                <w:sz w:val="31"/>
                <w:vertAlign w:val="baseline"/>
                <w:lang w:val="en-US"/>
              </w:rPr>
              <w:t xml:space="preserve">:</w:t>
            </w:r>
            <w:r>
              <w:rPr>
                <w:rFonts w:ascii="Times New Roman" w:hAnsi="Times New Roman" w:eastAsia="Times New Roman"/>
                <w:b w:val="true"/>
                <w:strike w:val="false"/>
                <w:color w:val="000000"/>
                <w:spacing w:val="-2"/>
                <w:w w:val="100"/>
                <w:sz w:val="22"/>
                <w:vertAlign w:val="baseline"/>
                <w:lang w:val="en-US"/>
              </w:rPr>
              <w:t xml:space="preserve">cHN LLP</w:t>
            </w:r>
          </w:p>
        </w:tc>
      </w:tr>
    </w:tbl>
    <w:p>
      <w:pPr>
        <w:spacing w:before="0" w:after="116" w:line="20" w:lineRule="exact"/>
      </w:pPr>
    </w:p>
    <w:p>
      <w:pPr>
        <w:tabs>
          <w:tab w:val="left" w:leader="none" w:pos="6912"/>
          <w:tab w:val="left" w:leader="none" w:pos="8280"/>
        </w:tabs>
        <w:spacing w:before="0" w:after="222" w:line="224" w:lineRule="exact"/>
        <w:ind w:right="0" w:left="0" w:firstLine="0"/>
        <w:jc w:val="left"/>
        <w:textAlignment w:val="baseline"/>
        <w:rPr>
          <w:rFonts w:ascii="Arial" w:hAnsi="Arial" w:eastAsia="Arial"/>
          <w:strike w:val="false"/>
          <w:color w:val="000000"/>
          <w:spacing w:val="-2"/>
          <w:w w:val="100"/>
          <w:sz w:val="16"/>
          <w:vertAlign w:val="baseline"/>
          <w:lang w:val="en-US"/>
        </w:rPr>
      </w:pPr>
      <w:r>
        <w:rPr>
          <w:rFonts w:ascii="Arial" w:hAnsi="Arial" w:eastAsia="Arial"/>
          <w:strike w:val="false"/>
          <w:color w:val="000000"/>
          <w:spacing w:val="-2"/>
          <w:w w:val="100"/>
          <w:sz w:val="16"/>
          <w:vertAlign w:val="baseline"/>
          <w:lang w:val="en-US"/>
        </w:rPr>
        <w:t xml:space="preserve">External Auditor Signature	</w:t>
      </w:r>
      <w:r>
        <w:rPr>
          <w:rFonts w:ascii="Arial" w:hAnsi="Arial" w:eastAsia="Arial"/>
          <w:strike w:val="false"/>
          <w:color w:val="000000"/>
          <w:spacing w:val="-2"/>
          <w:w w:val="100"/>
          <w:sz w:val="16"/>
          <w:vertAlign w:val="baseline"/>
          <w:lang w:val="en-US"/>
        </w:rPr>
        <w:t xml:space="preserve">Date	</w:t>
      </w:r>
      <w:r>
        <w:rPr>
          <w:rFonts w:ascii="Arial" w:hAnsi="Arial" w:eastAsia="Arial"/>
          <w:strike w:val="false"/>
          <w:color w:val="000000"/>
          <w:spacing w:val="-2"/>
          <w:w w:val="100"/>
          <w:sz w:val="20"/>
          <w:vertAlign w:val="baseline"/>
          <w:lang w:val="en-US"/>
        </w:rPr>
        <w:t xml:space="preserve">11109/2018</w:t>
      </w:r>
    </w:p>
    <w:p>
      <w:pPr>
        <w:shd w:val="solid" w:color="DBDEDC" w:fill="DBDEDC"/>
        <w:spacing w:before="0" w:after="209" w:line="201" w:lineRule="exact"/>
        <w:ind w:right="838" w:left="0" w:firstLine="0"/>
        <w:jc w:val="both"/>
        <w:textAlignment w:val="baseline"/>
        <w:rPr>
          <w:rFonts w:ascii="Arial" w:hAnsi="Arial" w:eastAsia="Arial"/>
          <w:strike w:val="false"/>
          <w:color w:val="000000"/>
          <w:spacing w:val="0"/>
          <w:w w:val="100"/>
          <w:sz w:val="20"/>
          <w:vertAlign w:val="baseline"/>
          <w:lang w:val="en-US"/>
        </w:rPr>
      </w:pPr>
      <w:r>
        <w:pict>
          <v:line strokeweight="0.85pt" strokecolor="#413D37" from="50.4pt,784.9pt" to="533.35pt,784.9pt" style="position:absolute;mso-position-horizontal-relative:page;mso-position-vertical-relative:page;">
            <v:stroke dashstyle="solid"/>
          </v:line>
        </w:pict>
      </w:r>
      <w:r>
        <w:rPr>
          <w:rFonts w:ascii="Arial" w:hAnsi="Arial" w:eastAsia="Arial"/>
          <w:strike w:val="false"/>
          <w:color w:val="000000"/>
          <w:spacing w:val="0"/>
          <w:w w:val="100"/>
          <w:sz w:val="20"/>
          <w:vertAlign w:val="baseline"/>
          <w:lang w:val="en-US"/>
        </w:rPr>
        <w:t xml:space="preserve">*Note: </w:t>
      </w:r>
      <w:r>
        <w:rPr>
          <w:rFonts w:ascii="Arial" w:hAnsi="Arial" w:eastAsia="Arial"/>
          <w:b w:val="true"/>
          <w:strike w:val="false"/>
          <w:color w:val="000000"/>
          <w:spacing w:val="0"/>
          <w:w w:val="100"/>
          <w:sz w:val="16"/>
          <w:vertAlign w:val="baseline"/>
          <w:lang w:val="en-US"/>
        </w:rPr>
        <w:t xml:space="preserve">the NAO issued guidance applicable to external auditors work on limited assurance reviews for 2017/18 </w:t>
      </w:r>
      <w:r>
        <w:rPr>
          <w:rFonts w:ascii="Arial" w:hAnsi="Arial" w:eastAsia="Arial"/>
          <w:strike w:val="false"/>
          <w:color w:val="000000"/>
          <w:spacing w:val="0"/>
          <w:w w:val="100"/>
          <w:sz w:val="20"/>
          <w:vertAlign w:val="baseline"/>
          <w:lang w:val="en-US"/>
        </w:rPr>
        <w:t xml:space="preserve">in Auditor </w:t>
      </w:r>
      <w:r>
        <w:rPr>
          <w:rFonts w:ascii="Arial" w:hAnsi="Arial" w:eastAsia="Arial"/>
          <w:b w:val="true"/>
          <w:strike w:val="false"/>
          <w:color w:val="000000"/>
          <w:spacing w:val="0"/>
          <w:w w:val="100"/>
          <w:sz w:val="16"/>
          <w:vertAlign w:val="baseline"/>
          <w:lang w:val="en-US"/>
        </w:rPr>
        <w:t xml:space="preserve">Guidance Note GN/02. The AGN isavailable from the_NAO website (wvvvc xwg,uk)</w:t>
      </w:r>
    </w:p>
    <w:sectPr>
      <w:type w:val="nextPage"/>
      <w:pgSz w:w="11789" w:h="16721" w:orient="portrait"/>
      <w:pgMar w:bottom="617" w:top="1020" w:right="571" w:left="998"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roman"/>
    <w:panose1 w:val="02020603050405020304"/>
  </w:font>
  <w:font w:name="Symbol">
    <w:pitch w:val="default"/>
    <w:family w:val="auto"/>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abstractNum w:abstractNumId="1">
    <w:lvl w:ilvl="0">
      <w:start w:val="1"/>
      <w:numFmt w:val="bullet"/>
      <w:lvlText w:val="·"/>
      <w:lvlJc w:val="left"/>
      <w:pPr>
        <w:tabs>
          <w:tab w:val="left" w:pos="360"/>
        </w:tabs>
        <w:ind w:left="720"/>
      </w:pPr>
      <w:rPr>
        <w:rFonts w:ascii="Symbol" w:hAnsi="Symbol" w:eastAsia="Symbol"/>
        <w:strike w:val="false"/>
        <w:color w:val="000000"/>
        <w:spacing w:val="-3"/>
        <w:w w:val="100"/>
        <w:sz w:val="20"/>
        <w:vertAlign w:val="baseline"/>
        <w:lang w:val="en-US"/>
      </w:rPr>
    </w:lvl>
  </w:abstractNum>
  <w:abstractNum w:abstractNumId="2">
    <w:lvl w:ilvl="0">
      <w:start w:val="1"/>
      <w:numFmt w:val="bullet"/>
      <w:lvlText w:val="·"/>
      <w:lvlJc w:val="left"/>
      <w:pPr>
        <w:tabs>
          <w:tab w:val="left" w:pos="288"/>
        </w:tabs>
        <w:ind w:left="720"/>
      </w:pPr>
      <w:rPr>
        <w:rFonts w:ascii="Symbol" w:hAnsi="Symbol" w:eastAsia="Symbol"/>
        <w:strike w:val="false"/>
        <w:color w:val="000000"/>
        <w:spacing w:val="0"/>
        <w:w w:val="100"/>
        <w:sz w:val="16"/>
        <w:vertAlign w:val="baseline"/>
        <w:lang w:val="en-US"/>
      </w:rPr>
    </w:lvl>
  </w:abstract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compat>
    <w:shapeLayoutLikeWW8/>
    <w:doNotUseHTMLParagraphAutoSpacing/>
    <w:applyBreakingRules/>
    <w:useFELayout/>
    <w:doNotUseIndentAsNumberingTabStop/>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docDefaults>
    <w:rPrDefault>
      <w:rPr>
        <w:rFonts w:ascii="Times New Roman" w:eastAsia="PMingLiU" w:hAnsi="Times New Roman" w:cs="Times New Roman"/>
        <w:sz w:val="22"/>
        <w:szCs w:val="22"/>
        <w:lang w:val="en-US" w:eastAsia="en-US" w:bidi="ar-SA"/>
      </w:rPr>
    </w:rPrDefault>
    <w:pPrDefault/>
  </w:docDefaults>
  <w:style/>
</w:styles>
</file>

<file path=word/_rels/document.xml.rels>&#65279;<?xml version="1.0" encoding="utf-8"?><Relationships xmlns="http://schemas.openxmlformats.org/package/2006/relationships"><Relationship Type="http://schemas.openxmlformats.org/officeDocument/2006/relationships/numbering" Target="numbering.xml" Id="drId3" /><Relationship Type="http://schemas.openxmlformats.org/officeDocument/2006/relationships/settings" Target="settings.xml" Id="drId1" /><Relationship Type="http://schemas.openxmlformats.org/officeDocument/2006/relationships/styles" Target="styles.xml" Id="drId0" /><Relationship Type="http://schemas.openxmlformats.org/wordprocessingml/2006/fontTable" Target="fontTable.xml" Id="drId2" /></Relationships>
</file>